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 xml:space="preserve">Извещение о проведении  аукциона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C75D0E" w:rsidP="00F06BEF">
      <w:pPr>
        <w:pStyle w:val="30"/>
        <w:rPr>
          <w:sz w:val="16"/>
          <w:szCs w:val="16"/>
        </w:rPr>
      </w:pPr>
      <w:r>
        <w:rPr>
          <w:sz w:val="16"/>
          <w:szCs w:val="16"/>
        </w:rPr>
        <w:t>г. Михайловск</w:t>
      </w:r>
      <w:r w:rsidR="005A252A">
        <w:rPr>
          <w:sz w:val="16"/>
          <w:szCs w:val="16"/>
        </w:rPr>
        <w:t xml:space="preserve"> </w:t>
      </w:r>
      <w:r w:rsidR="006B7657">
        <w:rPr>
          <w:sz w:val="16"/>
          <w:szCs w:val="16"/>
        </w:rPr>
        <w:t xml:space="preserve"> ул</w:t>
      </w:r>
      <w:r w:rsidR="006411D0">
        <w:rPr>
          <w:sz w:val="16"/>
          <w:szCs w:val="16"/>
        </w:rPr>
        <w:t xml:space="preserve">. </w:t>
      </w:r>
      <w:r w:rsidR="00C521DA">
        <w:rPr>
          <w:sz w:val="16"/>
          <w:szCs w:val="16"/>
        </w:rPr>
        <w:t>Титова д.11А</w:t>
      </w:r>
      <w:r w:rsidR="0021082A">
        <w:rPr>
          <w:sz w:val="16"/>
          <w:szCs w:val="16"/>
        </w:rPr>
        <w:t>,</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 xml:space="preserve">Администрация Михайловского муниципального образования. Почтовый адрес: 623080, Свердловская область, г. Михайловск, ул. Кирова, д. 22. Телефон: 8 (34398) 67-899. E-mail: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проведении  аукциона,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C521DA">
        <w:rPr>
          <w:bCs/>
          <w:sz w:val="18"/>
          <w:szCs w:val="18"/>
        </w:rPr>
        <w:t>24</w:t>
      </w:r>
      <w:r w:rsidR="00460691">
        <w:rPr>
          <w:b/>
          <w:bCs/>
          <w:sz w:val="18"/>
          <w:szCs w:val="18"/>
        </w:rPr>
        <w:t>.07</w:t>
      </w:r>
      <w:r w:rsidR="00C9554C" w:rsidRPr="00375EDC">
        <w:rPr>
          <w:b/>
          <w:bCs/>
          <w:sz w:val="18"/>
          <w:szCs w:val="18"/>
        </w:rPr>
        <w:t>.2023</w:t>
      </w:r>
      <w:r w:rsidRPr="00703E56">
        <w:rPr>
          <w:b/>
          <w:bCs/>
          <w:sz w:val="18"/>
          <w:szCs w:val="18"/>
        </w:rPr>
        <w:t xml:space="preserve">  г. №</w:t>
      </w:r>
      <w:r w:rsidR="00C521DA">
        <w:rPr>
          <w:b/>
          <w:bCs/>
          <w:sz w:val="18"/>
          <w:szCs w:val="18"/>
        </w:rPr>
        <w:t>200</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проведении аукциона</w:t>
      </w:r>
      <w:r w:rsidRPr="00AD3BB3">
        <w:rPr>
          <w:bCs/>
          <w:sz w:val="16"/>
          <w:szCs w:val="16"/>
          <w:lang w:bidi="ru-RU"/>
        </w:rPr>
        <w:t>. Уполномоченный орган принимает решение об отказе в проведении аукциона в случае выявления обстоятельств, предусмотренных пунктом 8 ст. 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521DA">
        <w:rPr>
          <w:sz w:val="16"/>
          <w:szCs w:val="16"/>
        </w:rPr>
        <w:t>24</w:t>
      </w:r>
      <w:r w:rsidR="008B1CA8">
        <w:rPr>
          <w:sz w:val="16"/>
          <w:szCs w:val="16"/>
        </w:rPr>
        <w:t>.07</w:t>
      </w:r>
      <w:r w:rsidR="00927CB6">
        <w:rPr>
          <w:sz w:val="16"/>
          <w:szCs w:val="16"/>
        </w:rPr>
        <w:t>.2023 г. №</w:t>
      </w:r>
      <w:r w:rsidR="00C521DA">
        <w:rPr>
          <w:sz w:val="16"/>
          <w:szCs w:val="16"/>
        </w:rPr>
        <w:t>200</w:t>
      </w:r>
      <w:r w:rsidR="005A252A">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586121" w:rsidRPr="00C521DA" w:rsidRDefault="00C521DA" w:rsidP="00927CB6">
            <w:pPr>
              <w:tabs>
                <w:tab w:val="left" w:pos="3210"/>
              </w:tabs>
              <w:jc w:val="both"/>
              <w:rPr>
                <w:sz w:val="16"/>
                <w:szCs w:val="16"/>
              </w:rPr>
            </w:pPr>
            <w:r w:rsidRPr="00C521DA">
              <w:rPr>
                <w:sz w:val="16"/>
                <w:szCs w:val="16"/>
              </w:rPr>
              <w:t xml:space="preserve">право  заключения договора аренды земельного участка,  с кадастровым номером 66:16:2601074:435, (категория земель </w:t>
            </w:r>
            <w:r w:rsidRPr="00C521DA">
              <w:rPr>
                <w:rStyle w:val="35"/>
                <w:sz w:val="16"/>
                <w:szCs w:val="16"/>
              </w:rPr>
              <w:t xml:space="preserve">- </w:t>
            </w:r>
            <w:r w:rsidRPr="00C521DA">
              <w:rPr>
                <w:sz w:val="16"/>
                <w:szCs w:val="16"/>
              </w:rPr>
              <w:t>земли населенных пунктов), расположенного по адресу: Свердловская область, Нижнесергинский район, г. Михайловск, ул. Титова, д.11А,  общей площадью 1500 кв.м., разрешенное использование – для индивидуального жилищного строительства, срок аренды - 20 лет.</w:t>
            </w:r>
          </w:p>
        </w:tc>
      </w:tr>
      <w:tr w:rsidR="005D0578" w:rsidRPr="00EF1DA2" w:rsidTr="005A252A">
        <w:trPr>
          <w:trHeight w:val="1970"/>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t xml:space="preserve">- расстояния до границы соседнего земельного участка по санитарно-бытовым условиям должны быть не менее: от </w:t>
                  </w:r>
                  <w:r w:rsidRPr="00307BBB">
                    <w:rPr>
                      <w:bCs/>
                      <w:sz w:val="16"/>
                      <w:szCs w:val="16"/>
                    </w:rPr>
                    <w:lastRenderedPageBreak/>
                    <w:t xml:space="preserve">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Подключение к сетям  водо- и теплоснабжения, канализации не возможно, по причине отсутствия сетей. Водо- и теплоснабжение, канализация - индивидуальные, автономные, определяются и создаются застройщиком самостоятельно, за свой счет.</w:t>
            </w:r>
          </w:p>
          <w:p w:rsidR="00C521DA" w:rsidRPr="00C521DA" w:rsidRDefault="00973088" w:rsidP="00C521DA">
            <w:pPr>
              <w:pStyle w:val="1"/>
              <w:numPr>
                <w:ilvl w:val="0"/>
                <w:numId w:val="19"/>
              </w:numPr>
              <w:tabs>
                <w:tab w:val="left" w:pos="571"/>
              </w:tabs>
              <w:spacing w:line="322" w:lineRule="exact"/>
              <w:ind w:right="20" w:firstLine="300"/>
              <w:jc w:val="both"/>
              <w:rPr>
                <w:sz w:val="16"/>
                <w:szCs w:val="16"/>
              </w:rPr>
            </w:pPr>
            <w:r w:rsidRPr="005A252A">
              <w:rPr>
                <w:sz w:val="16"/>
                <w:szCs w:val="16"/>
              </w:rPr>
              <w:t xml:space="preserve">Электроснабжение: </w:t>
            </w:r>
            <w:r w:rsidR="00C521DA" w:rsidRPr="00C521DA">
              <w:rPr>
                <w:sz w:val="16"/>
                <w:szCs w:val="16"/>
              </w:rPr>
              <w:t xml:space="preserve">Электроснабжение объекта с кадастровым номером 66:16:2601074:435 возможно  от  сетей ПО «Западные электрические сети» филиала «Россети-Урал» - «Свердловэнерго»,  при условии строительства: участка ВЛ-0,4 кВ от  ТП – 3001 до границ земельных  участков, с ориентировочной протяженностью 0,175 км: </w:t>
            </w:r>
          </w:p>
          <w:p w:rsidR="00C521DA" w:rsidRDefault="00C521DA" w:rsidP="00C521DA">
            <w:pPr>
              <w:pStyle w:val="1"/>
              <w:tabs>
                <w:tab w:val="left" w:pos="571"/>
              </w:tabs>
              <w:spacing w:line="322" w:lineRule="exact"/>
              <w:ind w:right="20"/>
              <w:rPr>
                <w:szCs w:val="28"/>
              </w:rPr>
            </w:pPr>
            <w:r w:rsidRPr="00C521DA">
              <w:rPr>
                <w:sz w:val="16"/>
                <w:szCs w:val="16"/>
              </w:rPr>
              <w:t xml:space="preserve">-  Нагрузка -15 кВт, уровень напряжения - 0,4 кВ., категория надежности – </w:t>
            </w:r>
            <w:r w:rsidRPr="00C521DA">
              <w:rPr>
                <w:sz w:val="16"/>
                <w:szCs w:val="16"/>
                <w:lang w:val="en-US"/>
              </w:rPr>
              <w:t>III</w:t>
            </w:r>
            <w:r w:rsidRPr="00C521DA">
              <w:rPr>
                <w:sz w:val="16"/>
                <w:szCs w:val="16"/>
              </w:rPr>
              <w:t>. Предельная свободная мощность центра питания (ТП-3001)—64,0 кВА</w:t>
            </w:r>
            <w:r>
              <w:rPr>
                <w:szCs w:val="28"/>
              </w:rPr>
              <w:t>.</w:t>
            </w:r>
          </w:p>
          <w:p w:rsidR="00EF0E4F" w:rsidRPr="00EF0E4F" w:rsidRDefault="00EF0E4F" w:rsidP="008C3F23">
            <w:pPr>
              <w:tabs>
                <w:tab w:val="left" w:pos="3210"/>
              </w:tabs>
              <w:jc w:val="both"/>
              <w:rPr>
                <w:sz w:val="16"/>
                <w:szCs w:val="16"/>
              </w:rPr>
            </w:pPr>
            <w:r w:rsidRPr="00EF0E4F">
              <w:rPr>
                <w:sz w:val="16"/>
                <w:szCs w:val="16"/>
              </w:rPr>
              <w:t>Процедура технологического присоединения к электрическим сетям регулируется  Правилами  технологического присоединения  энергопринимающих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C521DA" w:rsidRDefault="00C521DA" w:rsidP="002E16F8">
            <w:pPr>
              <w:jc w:val="both"/>
              <w:rPr>
                <w:b/>
                <w:sz w:val="16"/>
                <w:szCs w:val="16"/>
              </w:rPr>
            </w:pPr>
            <w:r w:rsidRPr="00C521DA">
              <w:rPr>
                <w:b/>
                <w:sz w:val="16"/>
                <w:szCs w:val="16"/>
              </w:rPr>
              <w:t>2843 (две тысячи восемьсот сорок три)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C521DA" w:rsidRDefault="00607147" w:rsidP="002E16F8">
            <w:pPr>
              <w:jc w:val="both"/>
              <w:rPr>
                <w:b/>
                <w:sz w:val="16"/>
                <w:szCs w:val="16"/>
              </w:rPr>
            </w:pPr>
            <w:r>
              <w:rPr>
                <w:b/>
                <w:sz w:val="16"/>
                <w:szCs w:val="16"/>
              </w:rPr>
              <w:t>85 (восемьдесят пять) рублей 28</w:t>
            </w:r>
            <w:bookmarkStart w:id="0" w:name="_GoBack"/>
            <w:bookmarkEnd w:id="0"/>
            <w:r w:rsidR="00C521DA" w:rsidRPr="00C521DA">
              <w:rPr>
                <w:b/>
                <w:sz w:val="16"/>
                <w:szCs w:val="16"/>
              </w:rPr>
              <w:t xml:space="preserve"> копеек</w:t>
            </w:r>
          </w:p>
        </w:tc>
      </w:tr>
      <w:tr w:rsidR="00B34328" w:rsidRPr="00EF1DA2" w:rsidTr="005A252A">
        <w:trPr>
          <w:trHeight w:val="202"/>
        </w:trPr>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C521DA" w:rsidRPr="00C521DA" w:rsidRDefault="00C521DA" w:rsidP="00C521DA">
            <w:pPr>
              <w:pStyle w:val="100"/>
              <w:shd w:val="clear" w:color="auto" w:fill="auto"/>
              <w:tabs>
                <w:tab w:val="left" w:pos="726"/>
              </w:tabs>
              <w:spacing w:before="0" w:line="322" w:lineRule="exact"/>
              <w:ind w:right="20" w:firstLine="0"/>
              <w:rPr>
                <w:rFonts w:ascii="Times New Roman" w:eastAsia="Times New Roman" w:hAnsi="Times New Roman"/>
                <w:b/>
                <w:sz w:val="16"/>
                <w:szCs w:val="16"/>
              </w:rPr>
            </w:pPr>
            <w:r w:rsidRPr="00C521DA">
              <w:rPr>
                <w:rFonts w:ascii="Times New Roman" w:eastAsia="Times New Roman" w:hAnsi="Times New Roman"/>
                <w:b/>
                <w:sz w:val="16"/>
                <w:szCs w:val="16"/>
              </w:rPr>
              <w:t>568 (пятьсот шестьдесят восемь) рублей  51 копейка.</w:t>
            </w:r>
          </w:p>
          <w:p w:rsidR="00B34328" w:rsidRPr="00D910CE" w:rsidRDefault="00B34328" w:rsidP="009A1931">
            <w:pPr>
              <w:jc w:val="both"/>
              <w:rPr>
                <w:b/>
                <w:sz w:val="16"/>
                <w:szCs w:val="16"/>
              </w:rPr>
            </w:pP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C521DA">
        <w:rPr>
          <w:rFonts w:eastAsia="Courier New"/>
          <w:b/>
          <w:sz w:val="16"/>
          <w:szCs w:val="16"/>
          <w:lang w:bidi="ru-RU"/>
        </w:rPr>
        <w:t>08.08</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r w:rsidRPr="00C60024">
        <w:rPr>
          <w:rFonts w:eastAsia="Courier New"/>
          <w:sz w:val="16"/>
          <w:szCs w:val="16"/>
          <w:lang w:bidi="ru-RU"/>
        </w:rPr>
        <w:t>МСК).</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C521DA">
        <w:rPr>
          <w:rFonts w:eastAsia="Courier New"/>
          <w:b/>
          <w:sz w:val="16"/>
          <w:szCs w:val="16"/>
          <w:lang w:bidi="ru-RU"/>
        </w:rPr>
        <w:t>06.09</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МСК).</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C521DA">
        <w:rPr>
          <w:rFonts w:eastAsia="Courier New"/>
          <w:sz w:val="16"/>
          <w:szCs w:val="16"/>
          <w:lang w:bidi="ru-RU"/>
        </w:rPr>
        <w:t>07.09</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МСК).</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C521DA">
        <w:rPr>
          <w:rFonts w:eastAsia="Courier New"/>
          <w:b/>
          <w:sz w:val="16"/>
          <w:szCs w:val="16"/>
          <w:lang w:bidi="ru-RU"/>
        </w:rPr>
        <w:t>11.09</w:t>
      </w:r>
      <w:r w:rsidR="00D910CE">
        <w:rPr>
          <w:rFonts w:eastAsia="Courier New"/>
          <w:b/>
          <w:sz w:val="16"/>
          <w:szCs w:val="16"/>
          <w:lang w:bidi="ru-RU"/>
        </w:rPr>
        <w:t>.2023</w:t>
      </w:r>
      <w:r w:rsidR="008E48B7">
        <w:rPr>
          <w:rFonts w:eastAsia="Courier New"/>
          <w:b/>
          <w:sz w:val="16"/>
          <w:szCs w:val="16"/>
          <w:lang w:bidi="ru-RU"/>
        </w:rPr>
        <w:t xml:space="preserve">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6B7657">
        <w:rPr>
          <w:rFonts w:eastAsia="Courier New"/>
          <w:sz w:val="16"/>
          <w:szCs w:val="16"/>
          <w:lang w:bidi="ru-RU"/>
        </w:rPr>
        <w:t>1</w:t>
      </w:r>
      <w:r w:rsidR="00C521DA">
        <w:rPr>
          <w:rFonts w:eastAsia="Courier New"/>
          <w:sz w:val="16"/>
          <w:szCs w:val="16"/>
          <w:lang w:bidi="ru-RU"/>
        </w:rPr>
        <w:t>1</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C521DA">
        <w:rPr>
          <w:rFonts w:eastAsia="Courier New"/>
          <w:sz w:val="16"/>
          <w:szCs w:val="16"/>
          <w:lang w:bidi="ru-RU"/>
        </w:rPr>
        <w:t>09</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МСК).</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C521DA">
        <w:rPr>
          <w:rFonts w:eastAsiaTheme="majorEastAsia"/>
          <w:bCs/>
          <w:sz w:val="16"/>
          <w:szCs w:val="16"/>
          <w:lang w:bidi="ru-RU"/>
        </w:rPr>
        <w:t>08.08</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C521DA">
        <w:rPr>
          <w:rFonts w:eastAsiaTheme="majorEastAsia"/>
          <w:bCs/>
          <w:sz w:val="16"/>
          <w:szCs w:val="16"/>
          <w:lang w:bidi="ru-RU"/>
        </w:rPr>
        <w:t>06.09</w:t>
      </w:r>
      <w:r w:rsidR="00973088">
        <w:rPr>
          <w:rFonts w:eastAsiaTheme="majorEastAsia"/>
          <w:bCs/>
          <w:sz w:val="16"/>
          <w:szCs w:val="16"/>
          <w:lang w:bidi="ru-RU"/>
        </w:rPr>
        <w:t>.2023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006768E4" w:rsidRPr="00D628F4">
        <w:rPr>
          <w:rFonts w:eastAsiaTheme="majorEastAsia"/>
          <w:bCs/>
          <w:sz w:val="16"/>
          <w:szCs w:val="16"/>
          <w:lang w:bidi="ru-RU"/>
        </w:rPr>
        <w:t>МСК).</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lastRenderedPageBreak/>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проведении  аукциона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C521DA">
        <w:rPr>
          <w:b/>
          <w:sz w:val="16"/>
          <w:szCs w:val="16"/>
        </w:rPr>
        <w:t>11.09</w:t>
      </w:r>
      <w:r w:rsidR="00973088">
        <w:rPr>
          <w:b/>
          <w:sz w:val="16"/>
          <w:szCs w:val="16"/>
        </w:rPr>
        <w:t>.2023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C521DA" w:rsidRPr="00C521DA">
        <w:rPr>
          <w:rFonts w:eastAsiaTheme="majorEastAsia"/>
          <w:b/>
          <w:bCs/>
          <w:sz w:val="16"/>
          <w:szCs w:val="16"/>
          <w:lang w:bidi="ru-RU"/>
        </w:rPr>
        <w:t>08.08</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C521DA">
        <w:rPr>
          <w:rFonts w:eastAsiaTheme="majorEastAsia"/>
          <w:b/>
          <w:bCs/>
          <w:sz w:val="16"/>
          <w:szCs w:val="16"/>
          <w:lang w:bidi="ru-RU"/>
        </w:rPr>
        <w:t>06.09</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Задаток, внесенный победителем аукциона, не засчитывается в счет арендной платы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2) непоступление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lastRenderedPageBreak/>
        <w:t xml:space="preserve">     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D17FF9" w:rsidRDefault="00D43BD6" w:rsidP="00D43BD6">
      <w:pPr>
        <w:ind w:firstLine="425"/>
        <w:jc w:val="both"/>
        <w:rPr>
          <w:sz w:val="16"/>
          <w:szCs w:val="16"/>
        </w:rPr>
      </w:pPr>
      <w:r>
        <w:rPr>
          <w:rFonts w:eastAsia="Calibri"/>
          <w:sz w:val="16"/>
          <w:szCs w:val="16"/>
        </w:rPr>
        <w:t xml:space="preserve">- </w:t>
      </w:r>
      <w:r w:rsidRPr="005114C6">
        <w:rPr>
          <w:sz w:val="16"/>
          <w:szCs w:val="16"/>
        </w:rPr>
        <w:t>время для подачи первого предложения о цене</w:t>
      </w:r>
      <w:r w:rsidR="00D17FF9">
        <w:rPr>
          <w:sz w:val="16"/>
          <w:szCs w:val="16"/>
        </w:rPr>
        <w:t>:</w:t>
      </w:r>
    </w:p>
    <w:p w:rsidR="00D43BD6" w:rsidRDefault="00D43BD6" w:rsidP="00D43BD6">
      <w:pPr>
        <w:ind w:firstLine="425"/>
        <w:jc w:val="both"/>
        <w:rPr>
          <w:rFonts w:eastAsia="Calibri"/>
          <w:sz w:val="16"/>
          <w:szCs w:val="16"/>
        </w:rPr>
      </w:pPr>
      <w:r w:rsidRPr="001146FE">
        <w:rPr>
          <w:rFonts w:eastAsia="Calibri"/>
          <w:sz w:val="16"/>
          <w:szCs w:val="16"/>
        </w:rPr>
        <w:t xml:space="preserve"> </w:t>
      </w:r>
      <w:r w:rsidR="00D17FF9">
        <w:rPr>
          <w:sz w:val="16"/>
          <w:szCs w:val="16"/>
        </w:rPr>
        <w:t xml:space="preserve">в соответствии с регламентом торговой секции «Приватизация, аренда и продажа прав» универсальной торговой платформы АО Сбербанк –АСТ </w:t>
      </w:r>
      <w:r w:rsidR="00D17FF9">
        <w:rPr>
          <w:sz w:val="16"/>
          <w:szCs w:val="16"/>
          <w:lang w:val="en-US"/>
        </w:rPr>
        <w:t>utp</w:t>
      </w:r>
      <w:r w:rsidR="00D17FF9" w:rsidRPr="00A071A0">
        <w:rPr>
          <w:sz w:val="16"/>
          <w:szCs w:val="16"/>
        </w:rPr>
        <w:t>.</w:t>
      </w:r>
      <w:r w:rsidR="00D17FF9">
        <w:rPr>
          <w:sz w:val="16"/>
          <w:szCs w:val="16"/>
          <w:lang w:val="en-US"/>
        </w:rPr>
        <w:t>sberbank</w:t>
      </w:r>
      <w:r w:rsidR="00D17FF9" w:rsidRPr="00A071A0">
        <w:rPr>
          <w:sz w:val="16"/>
          <w:szCs w:val="16"/>
        </w:rPr>
        <w:t>-</w:t>
      </w:r>
      <w:r w:rsidR="00D17FF9">
        <w:rPr>
          <w:sz w:val="16"/>
          <w:szCs w:val="16"/>
          <w:lang w:val="en-US"/>
        </w:rPr>
        <w:t>ast</w:t>
      </w:r>
      <w:r w:rsidR="00D17FF9" w:rsidRPr="00A071A0">
        <w:rPr>
          <w:sz w:val="16"/>
          <w:szCs w:val="16"/>
        </w:rPr>
        <w:t>.</w:t>
      </w:r>
      <w:r w:rsidR="00D17FF9">
        <w:rPr>
          <w:sz w:val="16"/>
          <w:szCs w:val="16"/>
          <w:lang w:val="en-US"/>
        </w:rPr>
        <w:t>ru</w:t>
      </w:r>
      <w:r w:rsidR="00D17FF9">
        <w:t>;</w:t>
      </w:r>
    </w:p>
    <w:p w:rsidR="00635F12" w:rsidRPr="001146FE" w:rsidRDefault="00D43BD6" w:rsidP="00D43BD6">
      <w:pPr>
        <w:ind w:firstLine="425"/>
        <w:jc w:val="both"/>
        <w:rPr>
          <w:rFonts w:eastAsia="Calibri"/>
          <w:sz w:val="16"/>
          <w:szCs w:val="16"/>
        </w:rPr>
      </w:pPr>
      <w:r>
        <w:rPr>
          <w:rFonts w:eastAsia="Calibri"/>
          <w:sz w:val="16"/>
          <w:szCs w:val="16"/>
        </w:rPr>
        <w:t xml:space="preserve">- с </w:t>
      </w:r>
      <w:r w:rsidRPr="001146FE">
        <w:rPr>
          <w:rFonts w:eastAsia="Calibri"/>
          <w:sz w:val="16"/>
          <w:szCs w:val="16"/>
        </w:rPr>
        <w:t>начала проведения процедуры аукциона участникам предлагается заявить о приобретени</w:t>
      </w:r>
      <w:r>
        <w:rPr>
          <w:rFonts w:eastAsia="Calibri"/>
          <w:sz w:val="16"/>
          <w:szCs w:val="16"/>
        </w:rPr>
        <w:t xml:space="preserve">и имущества по начальной цене. </w:t>
      </w:r>
      <w:r w:rsidR="00635F12" w:rsidRPr="001146FE">
        <w:rPr>
          <w:rFonts w:eastAsia="Calibri"/>
          <w:sz w:val="16"/>
          <w:szCs w:val="16"/>
        </w:rPr>
        <w:t xml:space="preserve"> В случае, если в течение у</w:t>
      </w:r>
      <w:r w:rsidR="00C521DA">
        <w:rPr>
          <w:rFonts w:eastAsia="Calibri"/>
          <w:sz w:val="16"/>
          <w:szCs w:val="16"/>
        </w:rPr>
        <w:t>становленного</w:t>
      </w:r>
      <w:r w:rsidR="00635F12" w:rsidRPr="001146FE">
        <w:rPr>
          <w:rFonts w:eastAsia="Calibri"/>
          <w:sz w:val="16"/>
          <w:szCs w:val="16"/>
        </w:rPr>
        <w:t xml:space="preserve">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C521DA">
        <w:rPr>
          <w:b/>
          <w:sz w:val="16"/>
          <w:szCs w:val="16"/>
        </w:rPr>
        <w:t>06.09</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0E" w:rsidRDefault="00724B0E">
      <w:r>
        <w:separator/>
      </w:r>
    </w:p>
  </w:endnote>
  <w:endnote w:type="continuationSeparator" w:id="0">
    <w:p w:rsidR="00724B0E" w:rsidRDefault="0072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607147">
      <w:rPr>
        <w:rStyle w:val="ab"/>
        <w:noProof/>
      </w:rPr>
      <w:t>2</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0E" w:rsidRDefault="00724B0E">
      <w:r>
        <w:separator/>
      </w:r>
    </w:p>
  </w:footnote>
  <w:footnote w:type="continuationSeparator" w:id="0">
    <w:p w:rsidR="00724B0E" w:rsidRDefault="0072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27A7F"/>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6253"/>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082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D41"/>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6F8"/>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37A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ED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ACE"/>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0691"/>
    <w:rsid w:val="0046219D"/>
    <w:rsid w:val="0046319C"/>
    <w:rsid w:val="004631D1"/>
    <w:rsid w:val="004661CF"/>
    <w:rsid w:val="0046632F"/>
    <w:rsid w:val="00466C67"/>
    <w:rsid w:val="00467D33"/>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252A"/>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61D7"/>
    <w:rsid w:val="005E7C92"/>
    <w:rsid w:val="005F18A0"/>
    <w:rsid w:val="005F2F97"/>
    <w:rsid w:val="005F45F7"/>
    <w:rsid w:val="005F719D"/>
    <w:rsid w:val="005F7842"/>
    <w:rsid w:val="0060100F"/>
    <w:rsid w:val="00602405"/>
    <w:rsid w:val="00603948"/>
    <w:rsid w:val="00605255"/>
    <w:rsid w:val="0060526C"/>
    <w:rsid w:val="006063D1"/>
    <w:rsid w:val="006066F3"/>
    <w:rsid w:val="00607147"/>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11D0"/>
    <w:rsid w:val="0064202D"/>
    <w:rsid w:val="006421D7"/>
    <w:rsid w:val="00643FF9"/>
    <w:rsid w:val="006446E3"/>
    <w:rsid w:val="00644947"/>
    <w:rsid w:val="00644A64"/>
    <w:rsid w:val="00644D38"/>
    <w:rsid w:val="0064515A"/>
    <w:rsid w:val="00645489"/>
    <w:rsid w:val="006468E0"/>
    <w:rsid w:val="00656206"/>
    <w:rsid w:val="00661CE5"/>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657"/>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759"/>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1221"/>
    <w:rsid w:val="0072392F"/>
    <w:rsid w:val="00724B0E"/>
    <w:rsid w:val="00725261"/>
    <w:rsid w:val="00725454"/>
    <w:rsid w:val="007275A2"/>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815"/>
    <w:rsid w:val="00817AC7"/>
    <w:rsid w:val="00820578"/>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1FC0"/>
    <w:rsid w:val="008A2D9A"/>
    <w:rsid w:val="008A4079"/>
    <w:rsid w:val="008A63B2"/>
    <w:rsid w:val="008A6666"/>
    <w:rsid w:val="008A6C20"/>
    <w:rsid w:val="008B053C"/>
    <w:rsid w:val="008B0C07"/>
    <w:rsid w:val="008B0E02"/>
    <w:rsid w:val="008B1CA8"/>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4FF9"/>
    <w:rsid w:val="008D6B05"/>
    <w:rsid w:val="008E0043"/>
    <w:rsid w:val="008E0313"/>
    <w:rsid w:val="008E09CD"/>
    <w:rsid w:val="008E0D7C"/>
    <w:rsid w:val="008E113D"/>
    <w:rsid w:val="008E392A"/>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08A6"/>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2896"/>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05E5"/>
    <w:rsid w:val="00A9257F"/>
    <w:rsid w:val="00A92E1A"/>
    <w:rsid w:val="00A939F5"/>
    <w:rsid w:val="00A940EA"/>
    <w:rsid w:val="00A94821"/>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1DA"/>
    <w:rsid w:val="00C52F76"/>
    <w:rsid w:val="00C52F7B"/>
    <w:rsid w:val="00C53400"/>
    <w:rsid w:val="00C577B0"/>
    <w:rsid w:val="00C60024"/>
    <w:rsid w:val="00C6189E"/>
    <w:rsid w:val="00C65E5C"/>
    <w:rsid w:val="00C66A98"/>
    <w:rsid w:val="00C70F10"/>
    <w:rsid w:val="00C713B1"/>
    <w:rsid w:val="00C7178A"/>
    <w:rsid w:val="00C737B8"/>
    <w:rsid w:val="00C73FB1"/>
    <w:rsid w:val="00C75D0E"/>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B7C92"/>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17FF9"/>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BD6"/>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0CE"/>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34C"/>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0B02"/>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1BA0"/>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0793"/>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99"/>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071F0"/>
    <w:rsid w:val="0023306D"/>
    <w:rsid w:val="00260739"/>
    <w:rsid w:val="002835D1"/>
    <w:rsid w:val="002A1242"/>
    <w:rsid w:val="002A7CB6"/>
    <w:rsid w:val="002C5BE6"/>
    <w:rsid w:val="002D7D2E"/>
    <w:rsid w:val="002F2070"/>
    <w:rsid w:val="002F7C2F"/>
    <w:rsid w:val="0031100A"/>
    <w:rsid w:val="00316B45"/>
    <w:rsid w:val="00345288"/>
    <w:rsid w:val="003807D9"/>
    <w:rsid w:val="0038545D"/>
    <w:rsid w:val="00397183"/>
    <w:rsid w:val="003E2A5E"/>
    <w:rsid w:val="00410E24"/>
    <w:rsid w:val="00415807"/>
    <w:rsid w:val="00436470"/>
    <w:rsid w:val="00451C3B"/>
    <w:rsid w:val="004B0B3E"/>
    <w:rsid w:val="004D2F40"/>
    <w:rsid w:val="00525775"/>
    <w:rsid w:val="005813D7"/>
    <w:rsid w:val="005D144C"/>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37A22"/>
    <w:rsid w:val="00742A98"/>
    <w:rsid w:val="00760BFE"/>
    <w:rsid w:val="00764C3B"/>
    <w:rsid w:val="00773E7B"/>
    <w:rsid w:val="00791915"/>
    <w:rsid w:val="007C06FC"/>
    <w:rsid w:val="007F6A09"/>
    <w:rsid w:val="00805B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2025E"/>
    <w:rsid w:val="00AA2CC7"/>
    <w:rsid w:val="00AA322B"/>
    <w:rsid w:val="00AB4380"/>
    <w:rsid w:val="00AE0FE5"/>
    <w:rsid w:val="00AE332F"/>
    <w:rsid w:val="00AF628E"/>
    <w:rsid w:val="00B27984"/>
    <w:rsid w:val="00B67FAE"/>
    <w:rsid w:val="00BA10BE"/>
    <w:rsid w:val="00BC3421"/>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C4CB5"/>
    <w:rsid w:val="00DE28F0"/>
    <w:rsid w:val="00E01A3E"/>
    <w:rsid w:val="00E02677"/>
    <w:rsid w:val="00E20638"/>
    <w:rsid w:val="00E22195"/>
    <w:rsid w:val="00E2295A"/>
    <w:rsid w:val="00E229E1"/>
    <w:rsid w:val="00E2594A"/>
    <w:rsid w:val="00E315C0"/>
    <w:rsid w:val="00E9271E"/>
    <w:rsid w:val="00EA1B1E"/>
    <w:rsid w:val="00EC6098"/>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EA44-034D-4885-834C-8929715CE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Pages>
  <Words>3638</Words>
  <Characters>20743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57</cp:revision>
  <cp:lastPrinted>2023-06-27T11:30:00Z</cp:lastPrinted>
  <dcterms:created xsi:type="dcterms:W3CDTF">2022-02-01T04:17:00Z</dcterms:created>
  <dcterms:modified xsi:type="dcterms:W3CDTF">2023-08-07T04:59:00Z</dcterms:modified>
</cp:coreProperties>
</file>